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spacing w:line="14" w:lineRule="exact"/>
        <w:rPr>
          <w:rFonts w:hAnsi="宋体" w:eastAsia="黑体"/>
          <w:b/>
          <w:bCs/>
          <w:color w:val="000000"/>
          <w:kern w:val="0"/>
          <w:sz w:val="32"/>
          <w:szCs w:val="32"/>
        </w:rPr>
      </w:pPr>
    </w:p>
    <w:p>
      <w:pPr>
        <w:spacing w:line="360" w:lineRule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</w:p>
    <w:p>
      <w:pPr>
        <w:spacing w:line="360" w:lineRule="auto"/>
        <w:rPr>
          <w:rFonts w:ascii="宋体" w:hAnsi="宋体"/>
          <w:color w:val="000000"/>
          <w:kern w:val="0"/>
          <w:sz w:val="24"/>
        </w:rPr>
      </w:pPr>
    </w:p>
    <w:p>
      <w:pPr>
        <w:spacing w:line="360" w:lineRule="auto"/>
        <w:rPr>
          <w:rFonts w:ascii="宋体" w:hAnsi="宋体"/>
          <w:color w:val="000000"/>
          <w:kern w:val="0"/>
          <w:sz w:val="32"/>
        </w:rPr>
      </w:pPr>
    </w:p>
    <w:p>
      <w:pPr>
        <w:spacing w:line="360" w:lineRule="auto"/>
        <w:jc w:val="center"/>
        <w:rPr>
          <w:rFonts w:ascii="黑体" w:hAnsi="黑体" w:eastAsia="黑体" w:cs="华文中宋"/>
          <w:b/>
          <w:bCs/>
          <w:sz w:val="56"/>
          <w:szCs w:val="48"/>
        </w:rPr>
      </w:pPr>
      <w:r>
        <w:rPr>
          <w:rFonts w:hint="eastAsia" w:ascii="黑体" w:hAnsi="黑体" w:eastAsia="黑体" w:cs="华文中宋"/>
          <w:b/>
          <w:bCs/>
          <w:sz w:val="56"/>
          <w:szCs w:val="48"/>
        </w:rPr>
        <w:t>2021—20</w:t>
      </w:r>
      <w:r>
        <w:rPr>
          <w:rFonts w:ascii="黑体" w:hAnsi="黑体" w:eastAsia="黑体" w:cs="华文中宋"/>
          <w:b/>
          <w:bCs/>
          <w:sz w:val="56"/>
          <w:szCs w:val="48"/>
        </w:rPr>
        <w:t>2</w:t>
      </w:r>
      <w:r>
        <w:rPr>
          <w:rFonts w:hint="eastAsia" w:ascii="黑体" w:hAnsi="黑体" w:eastAsia="黑体" w:cs="华文中宋"/>
          <w:b/>
          <w:bCs/>
          <w:sz w:val="56"/>
          <w:szCs w:val="48"/>
        </w:rPr>
        <w:t>2学年“丝绸之路”</w:t>
      </w:r>
    </w:p>
    <w:p>
      <w:pPr>
        <w:spacing w:line="360" w:lineRule="auto"/>
        <w:jc w:val="center"/>
        <w:rPr>
          <w:rFonts w:ascii="黑体" w:hAnsi="黑体" w:eastAsia="黑体" w:cs="华文中宋"/>
          <w:b/>
          <w:bCs/>
          <w:sz w:val="56"/>
          <w:szCs w:val="48"/>
        </w:rPr>
      </w:pPr>
      <w:r>
        <w:rPr>
          <w:rFonts w:hint="eastAsia" w:ascii="黑体" w:hAnsi="黑体" w:eastAsia="黑体" w:cs="华文中宋"/>
          <w:b/>
          <w:bCs/>
          <w:sz w:val="56"/>
          <w:szCs w:val="48"/>
        </w:rPr>
        <w:t>中国政府奖学金项目申报书</w:t>
      </w:r>
    </w:p>
    <w:p>
      <w:pPr>
        <w:widowControl/>
        <w:spacing w:line="360" w:lineRule="auto"/>
        <w:rPr>
          <w:rFonts w:ascii="宋体" w:hAnsi="宋体" w:eastAsia="楷体_GB2312"/>
          <w:color w:val="000000"/>
          <w:kern w:val="0"/>
          <w:sz w:val="24"/>
        </w:rPr>
      </w:pPr>
      <w:r>
        <w:rPr>
          <w:rFonts w:hint="eastAsia" w:ascii="宋体" w:hAnsi="宋体" w:eastAsia="楷体_GB2312"/>
          <w:color w:val="000000"/>
          <w:kern w:val="0"/>
          <w:sz w:val="24"/>
        </w:rPr>
        <w:t>  </w:t>
      </w:r>
    </w:p>
    <w:tbl>
      <w:tblPr>
        <w:tblStyle w:val="6"/>
        <w:tblW w:w="81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0"/>
        <w:gridCol w:w="5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tabs>
                <w:tab w:val="left" w:pos="4382"/>
              </w:tabs>
              <w:rPr>
                <w:rFonts w:ascii="宋体" w:hAnsi="宋体" w:eastAsia="华文中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2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申报单位名称(盖章)</w:t>
            </w:r>
          </w:p>
        </w:tc>
        <w:tc>
          <w:tcPr>
            <w:tcW w:w="5322" w:type="dxa"/>
            <w:tcBorders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单位负责人签字</w:t>
            </w:r>
          </w:p>
        </w:tc>
        <w:tc>
          <w:tcPr>
            <w:tcW w:w="5322" w:type="dxa"/>
            <w:tcBorders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联系人及联系方式</w:t>
            </w:r>
          </w:p>
        </w:tc>
        <w:tc>
          <w:tcPr>
            <w:tcW w:w="53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eastAsia="华文中宋" w:cs="华文中宋"/>
                <w:sz w:val="30"/>
                <w:szCs w:val="30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填  表  日  期</w:t>
            </w:r>
          </w:p>
        </w:tc>
        <w:tc>
          <w:tcPr>
            <w:tcW w:w="53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rPr>
          <w:rFonts w:ascii="宋体" w:hAnsi="宋体" w:eastAsia="楷体_GB2312"/>
          <w:color w:val="000000"/>
          <w:kern w:val="0"/>
          <w:sz w:val="24"/>
        </w:rPr>
      </w:pPr>
    </w:p>
    <w:p>
      <w:pPr>
        <w:widowControl/>
        <w:spacing w:line="360" w:lineRule="auto"/>
        <w:rPr>
          <w:rFonts w:ascii="宋体" w:hAnsi="宋体" w:eastAsia="楷体_GB2312"/>
          <w:color w:val="000000"/>
          <w:kern w:val="0"/>
          <w:sz w:val="24"/>
        </w:rPr>
      </w:pPr>
      <w:r>
        <w:rPr>
          <w:rFonts w:hint="eastAsia" w:ascii="宋体" w:hAnsi="宋体" w:eastAsia="楷体_GB2312"/>
          <w:color w:val="000000"/>
          <w:kern w:val="0"/>
          <w:sz w:val="24"/>
        </w:rPr>
        <w:t> </w:t>
      </w:r>
    </w:p>
    <w:p>
      <w:pPr>
        <w:widowControl/>
        <w:spacing w:line="360" w:lineRule="auto"/>
        <w:rPr>
          <w:rFonts w:ascii="宋体" w:hAnsi="宋体" w:eastAsia="楷体_GB2312"/>
          <w:color w:val="000000"/>
          <w:kern w:val="0"/>
          <w:sz w:val="24"/>
        </w:rPr>
      </w:pPr>
    </w:p>
    <w:p>
      <w:pPr>
        <w:jc w:val="center"/>
        <w:rPr>
          <w:rFonts w:ascii="方正小标宋简体" w:eastAsia="方正小标宋简体" w:cs="楷体_GB2312"/>
          <w:bCs/>
          <w:sz w:val="36"/>
          <w:szCs w:val="36"/>
        </w:rPr>
      </w:pPr>
      <w:r>
        <w:rPr>
          <w:rFonts w:hint="eastAsia" w:ascii="方正小标宋简体" w:eastAsia="方正小标宋简体" w:cs="楷体_GB2312"/>
          <w:bCs/>
          <w:sz w:val="36"/>
          <w:szCs w:val="36"/>
        </w:rPr>
        <w:t>教育部国际合作与交流司</w:t>
      </w:r>
    </w:p>
    <w:p>
      <w:pPr>
        <w:jc w:val="center"/>
        <w:rPr>
          <w:rFonts w:ascii="方正小标宋简体" w:eastAsia="方正小标宋简体" w:cs="楷体_GB2312"/>
          <w:bCs/>
          <w:sz w:val="36"/>
          <w:szCs w:val="36"/>
        </w:rPr>
      </w:pPr>
    </w:p>
    <w:p>
      <w:pPr>
        <w:jc w:val="center"/>
        <w:rPr>
          <w:rFonts w:ascii="方正小标宋简体" w:eastAsia="方正小标宋简体" w:cs="楷体_GB2312"/>
          <w:bCs/>
          <w:sz w:val="36"/>
          <w:szCs w:val="36"/>
        </w:rPr>
      </w:pPr>
    </w:p>
    <w:p>
      <w:pPr>
        <w:jc w:val="right"/>
        <w:rPr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填 表 说 明</w:t>
      </w:r>
    </w:p>
    <w:p>
      <w:pPr>
        <w:pStyle w:val="2"/>
        <w:tabs>
          <w:tab w:val="left" w:pos="0"/>
        </w:tabs>
        <w:spacing w:before="156" w:beforeLines="50" w:after="156" w:afterLines="50" w:line="360" w:lineRule="auto"/>
        <w:rPr>
          <w:rFonts w:ascii="楷体_GB2312" w:hAnsi="Times New Roman" w:eastAsia="楷体_GB2312"/>
          <w:sz w:val="26"/>
          <w:szCs w:val="26"/>
        </w:rPr>
      </w:pPr>
    </w:p>
    <w:p>
      <w:pPr>
        <w:tabs>
          <w:tab w:val="left" w:pos="420"/>
        </w:tabs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 请各校自行设计申报项目名称。无明确培养对象和培养专业不清晰的申报项目将不予受理。项目名称的表述应科学、严谨、规范、简明，反映项目主要内容，一般不加副标题，最多不超过30字。</w:t>
      </w:r>
    </w:p>
    <w:p>
      <w:pPr>
        <w:tabs>
          <w:tab w:val="left" w:pos="420"/>
          <w:tab w:val="left" w:pos="1280"/>
        </w:tabs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二、申报单位须按高校全称填写并在封面盖校章。</w:t>
      </w:r>
    </w:p>
    <w:p>
      <w:pPr>
        <w:tabs>
          <w:tab w:val="left" w:pos="420"/>
          <w:tab w:val="left" w:pos="1280"/>
        </w:tabs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 各申报单位须认真如实填写申报书。申报单位负责人须对申报书进行全面审核，签署明确意见，承担信誉保证并加盖公章。凡存在弄虚作假的，一经发现查实，取消三年申报资格；如项目获批即予撤销并通报批评。</w:t>
      </w:r>
    </w:p>
    <w:p>
      <w:pPr>
        <w:tabs>
          <w:tab w:val="left" w:pos="420"/>
          <w:tab w:val="left" w:pos="1280"/>
        </w:tabs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四、本表用计算机或钢笔认真如实填写，交送一式三份（原件）。请用A4纸双面打印和复印，于左侧装订。</w:t>
      </w: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2021—2022学年申报项目表</w:t>
      </w:r>
    </w:p>
    <w:p>
      <w:pPr>
        <w:tabs>
          <w:tab w:val="left" w:pos="420"/>
        </w:tabs>
        <w:spacing w:line="480" w:lineRule="auto"/>
        <w:rPr>
          <w:rFonts w:ascii="宋体" w:hAnsi="宋体" w:eastAsia="黑体"/>
          <w:b/>
          <w:bCs/>
          <w:color w:val="000000"/>
          <w:kern w:val="0"/>
          <w:sz w:val="32"/>
          <w:szCs w:val="32"/>
        </w:rPr>
      </w:pPr>
      <w:r>
        <w:rPr>
          <w:rFonts w:hint="eastAsia" w:hAnsi="宋体" w:eastAsia="黑体"/>
          <w:b/>
          <w:bCs/>
          <w:color w:val="000000"/>
          <w:kern w:val="0"/>
          <w:sz w:val="32"/>
          <w:szCs w:val="32"/>
        </w:rPr>
        <w:t>一</w:t>
      </w:r>
      <w:r>
        <w:rPr>
          <w:rFonts w:hAnsi="宋体" w:eastAsia="黑体"/>
          <w:b/>
          <w:bCs/>
          <w:color w:val="000000"/>
          <w:kern w:val="0"/>
          <w:sz w:val="32"/>
          <w:szCs w:val="32"/>
        </w:rPr>
        <w:t>、项目基本情况</w:t>
      </w:r>
      <w:r>
        <w:rPr>
          <w:rFonts w:hint="eastAsia" w:ascii="宋体" w:hAnsi="宋体" w:eastAsia="黑体"/>
          <w:b/>
          <w:bCs/>
          <w:color w:val="000000"/>
          <w:kern w:val="0"/>
          <w:sz w:val="32"/>
          <w:szCs w:val="32"/>
        </w:rPr>
        <w:tab/>
      </w:r>
    </w:p>
    <w:tbl>
      <w:tblPr>
        <w:tblStyle w:val="6"/>
        <w:tblW w:w="12475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693"/>
        <w:gridCol w:w="425"/>
        <w:gridCol w:w="1418"/>
        <w:gridCol w:w="1331"/>
        <w:gridCol w:w="1646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58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640" w:hRule="atLeast"/>
        </w:trPr>
        <w:tc>
          <w:tcPr>
            <w:tcW w:w="4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项目是否曾于上一学年获批？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□是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73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培养层次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多选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□长期进修生（6个月以上）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□本科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□硕士研究生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□博士研究生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培养方式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多选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□学历培养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□专业培训和研修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63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主要目标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生源国别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预期招生规模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_______人/年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563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sz w:val="24"/>
              </w:rPr>
              <w:t>申请奖学金名额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（单位：个）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项目具体</w:t>
            </w:r>
          </w:p>
          <w:p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实施单位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601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单位负责人姓名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712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     省（自治区、直辖市）            区（县）  街（路）号       室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528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（单位）                （手机）</w:t>
            </w:r>
          </w:p>
        </w:tc>
      </w:tr>
    </w:tbl>
    <w:p>
      <w:pPr>
        <w:widowControl/>
        <w:spacing w:line="360" w:lineRule="auto"/>
        <w:rPr>
          <w:rFonts w:hAnsi="宋体" w:eastAsia="黑体"/>
          <w:bCs/>
          <w:color w:val="000000"/>
          <w:kern w:val="0"/>
          <w:sz w:val="24"/>
        </w:rPr>
      </w:pPr>
      <w:r>
        <w:rPr>
          <w:rFonts w:hint="eastAsia" w:hAnsi="宋体" w:eastAsia="黑体"/>
          <w:b/>
          <w:bCs/>
          <w:color w:val="000000"/>
          <w:kern w:val="0"/>
          <w:sz w:val="30"/>
          <w:szCs w:val="30"/>
        </w:rPr>
        <w:t>二、</w:t>
      </w:r>
      <w:r>
        <w:rPr>
          <w:rFonts w:hint="eastAsia" w:hAnsi="宋体" w:eastAsia="黑体"/>
          <w:b/>
          <w:bCs/>
          <w:color w:val="000000"/>
          <w:kern w:val="0"/>
          <w:sz w:val="32"/>
          <w:szCs w:val="32"/>
        </w:rPr>
        <w:t>项目专业</w:t>
      </w:r>
    </w:p>
    <w:tbl>
      <w:tblPr>
        <w:tblStyle w:val="6"/>
        <w:tblW w:w="949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10"/>
        <w:gridCol w:w="758"/>
        <w:gridCol w:w="708"/>
        <w:gridCol w:w="1134"/>
        <w:gridCol w:w="993"/>
        <w:gridCol w:w="1559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专业</w:t>
            </w:r>
            <w:r>
              <w:rPr>
                <w:rFonts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2017年全国</w:t>
            </w:r>
            <w:r>
              <w:rPr>
                <w:color w:val="000000"/>
                <w:kern w:val="0"/>
                <w:sz w:val="24"/>
              </w:rPr>
              <w:t>第四轮学科评估</w:t>
            </w:r>
            <w:r>
              <w:rPr>
                <w:rFonts w:hint="eastAsia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培养</w:t>
            </w:r>
            <w:r>
              <w:rPr>
                <w:color w:val="000000"/>
                <w:kern w:val="0"/>
                <w:sz w:val="24"/>
              </w:rPr>
              <w:t>层次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授课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语言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生源国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所属学科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领域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定向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委托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培养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rPr>
          <w:rFonts w:asciiTheme="minorEastAsia" w:hAnsiTheme="minorEastAsia" w:eastAsiaTheme="minorEastAsia"/>
          <w:bCs/>
          <w:color w:val="000000"/>
          <w:kern w:val="0"/>
          <w:szCs w:val="21"/>
        </w:rPr>
      </w:pP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t>备注：</w:t>
      </w:r>
      <w:r>
        <w:rPr>
          <w:rFonts w:asciiTheme="minorEastAsia" w:hAnsiTheme="minorEastAsia" w:eastAsiaTheme="minorEastAsia"/>
          <w:b/>
          <w:bCs/>
          <w:color w:val="000000"/>
          <w:kern w:val="0"/>
          <w:szCs w:val="21"/>
        </w:rPr>
        <w:t>所属学科领域：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begin"/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instrText xml:space="preserve">= 1 \* GB3</w:instrTex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separate"/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t>①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end"/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t>高新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t>技术领域；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begin"/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instrText xml:space="preserve">= 2 \* GB3</w:instrTex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separate"/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t>②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end"/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t>基础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t>能源领域；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begin"/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instrText xml:space="preserve">= 3 \* GB3</w:instrTex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separate"/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t>③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end"/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t>现代服务领域</w:t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t>；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begin"/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instrText xml:space="preserve">= 4 \* GB3</w:instrTex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separate"/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t>④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end"/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t>政策与金融领域；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begin"/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instrText xml:space="preserve">= 5 \* GB3</w:instrTex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separate"/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t>⑤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end"/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t>其它</w:t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t xml:space="preserve">。 </w:t>
      </w:r>
      <w:r>
        <w:rPr>
          <w:rFonts w:hint="eastAsia" w:asciiTheme="minorEastAsia" w:hAnsiTheme="minorEastAsia" w:eastAsiaTheme="minorEastAsia"/>
          <w:b/>
          <w:bCs/>
          <w:color w:val="000000"/>
          <w:kern w:val="0"/>
          <w:szCs w:val="21"/>
        </w:rPr>
        <w:t xml:space="preserve"> 定向</w:t>
      </w:r>
      <w:r>
        <w:rPr>
          <w:rFonts w:asciiTheme="minorEastAsia" w:hAnsiTheme="minorEastAsia" w:eastAsiaTheme="minorEastAsia"/>
          <w:b/>
          <w:bCs/>
          <w:color w:val="000000"/>
          <w:kern w:val="0"/>
          <w:szCs w:val="21"/>
        </w:rPr>
        <w:t>委托培养机构名称：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t>含国内外企业、相关部</w:t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t>委和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t>高校</w:t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t>。</w:t>
      </w:r>
    </w:p>
    <w:p>
      <w:pPr>
        <w:widowControl/>
        <w:spacing w:line="360" w:lineRule="auto"/>
        <w:rPr>
          <w:rFonts w:hAnsi="宋体" w:eastAsia="黑体"/>
          <w:b/>
          <w:bCs/>
          <w:color w:val="000000"/>
          <w:kern w:val="0"/>
          <w:sz w:val="32"/>
          <w:szCs w:val="32"/>
        </w:rPr>
      </w:pPr>
      <w:r>
        <w:rPr>
          <w:rFonts w:hint="eastAsia" w:hAnsi="宋体" w:eastAsia="黑体"/>
          <w:b/>
          <w:bCs/>
          <w:color w:val="000000"/>
          <w:kern w:val="0"/>
          <w:sz w:val="32"/>
          <w:szCs w:val="32"/>
        </w:rPr>
        <w:t>三、核心师资</w:t>
      </w:r>
    </w:p>
    <w:tbl>
      <w:tblPr>
        <w:tblStyle w:val="7"/>
        <w:tblW w:w="93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widowControl/>
              <w:spacing w:line="360" w:lineRule="auto"/>
              <w:jc w:val="left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项目配置教师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hint="eastAsia" w:hAnsi="宋体" w:eastAsia="黑体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人）</w:t>
            </w:r>
          </w:p>
        </w:tc>
        <w:tc>
          <w:tcPr>
            <w:tcW w:w="4453" w:type="dxa"/>
          </w:tcPr>
          <w:p>
            <w:pPr>
              <w:widowControl/>
              <w:spacing w:line="360" w:lineRule="auto"/>
              <w:jc w:val="center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widowControl/>
              <w:spacing w:line="360" w:lineRule="auto"/>
              <w:jc w:val="left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 xml:space="preserve">博导 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（人）</w:t>
            </w:r>
          </w:p>
        </w:tc>
        <w:tc>
          <w:tcPr>
            <w:tcW w:w="4453" w:type="dxa"/>
          </w:tcPr>
          <w:p>
            <w:pPr>
              <w:widowControl/>
              <w:spacing w:line="360" w:lineRule="auto"/>
              <w:jc w:val="center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widowControl/>
              <w:spacing w:line="360" w:lineRule="auto"/>
              <w:jc w:val="left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正高级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职称的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教师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 xml:space="preserve">              （人）</w:t>
            </w:r>
          </w:p>
        </w:tc>
        <w:tc>
          <w:tcPr>
            <w:tcW w:w="4453" w:type="dxa"/>
          </w:tcPr>
          <w:p>
            <w:pPr>
              <w:widowControl/>
              <w:spacing w:line="360" w:lineRule="auto"/>
              <w:jc w:val="center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widowControl/>
              <w:spacing w:line="360" w:lineRule="auto"/>
              <w:jc w:val="left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副高级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职称的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教师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 xml:space="preserve">              （人）</w:t>
            </w:r>
          </w:p>
        </w:tc>
        <w:tc>
          <w:tcPr>
            <w:tcW w:w="4453" w:type="dxa"/>
          </w:tcPr>
          <w:p>
            <w:pPr>
              <w:widowControl/>
              <w:spacing w:line="360" w:lineRule="auto"/>
              <w:jc w:val="center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widowControl/>
              <w:spacing w:line="360" w:lineRule="auto"/>
              <w:jc w:val="left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赴海外一年及以上留学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经历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的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教师（人）</w:t>
            </w:r>
          </w:p>
        </w:tc>
        <w:tc>
          <w:tcPr>
            <w:tcW w:w="4453" w:type="dxa"/>
          </w:tcPr>
          <w:p>
            <w:pPr>
              <w:widowControl/>
              <w:spacing w:line="360" w:lineRule="auto"/>
              <w:jc w:val="center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widowControl/>
              <w:spacing w:line="360" w:lineRule="auto"/>
              <w:jc w:val="left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享受国家级称号的教师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 xml:space="preserve">          （人）</w:t>
            </w:r>
          </w:p>
        </w:tc>
        <w:tc>
          <w:tcPr>
            <w:tcW w:w="4453" w:type="dxa"/>
          </w:tcPr>
          <w:p>
            <w:pPr>
              <w:widowControl/>
              <w:spacing w:line="360" w:lineRule="auto"/>
              <w:jc w:val="center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="0" w:firstLineChars="0"/>
        <w:rPr>
          <w:rFonts w:hAnsi="宋体" w:eastAsia="黑体"/>
          <w:b/>
          <w:bCs/>
          <w:color w:val="000000"/>
          <w:kern w:val="0"/>
          <w:sz w:val="30"/>
          <w:szCs w:val="30"/>
        </w:rPr>
      </w:pPr>
      <w:r>
        <w:rPr>
          <w:rFonts w:hint="eastAsia" w:hAnsi="宋体" w:eastAsia="黑体"/>
          <w:b/>
          <w:bCs/>
          <w:color w:val="000000"/>
          <w:kern w:val="0"/>
          <w:sz w:val="30"/>
          <w:szCs w:val="30"/>
        </w:rPr>
        <w:t>项目说明</w:t>
      </w:r>
    </w:p>
    <w:tbl>
      <w:tblPr>
        <w:tblStyle w:val="7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00" w:lineRule="exact"/>
              <w:rPr>
                <w:rFonts w:hAnsi="宋体" w:eastAsia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立项说明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（重点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说明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项目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的设立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主要解决了哪些人才培养问题）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招生宣传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(重点说明目标生源和生源质量评价、招生渠道和宣传推介、定向合作模式、录取标准、考核方式以及组织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安排、录取程序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等工作）</w:t>
            </w:r>
          </w:p>
          <w:p>
            <w:pPr>
              <w:tabs>
                <w:tab w:val="left" w:pos="420"/>
              </w:tabs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质量保障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（重点说明过程培养与管理、实习实践、毕业和就业等主要工作措施）</w:t>
            </w:r>
          </w:p>
          <w:p>
            <w:pPr>
              <w:tabs>
                <w:tab w:val="left" w:pos="420"/>
              </w:tabs>
              <w:spacing w:line="400" w:lineRule="exact"/>
              <w:rPr>
                <w:rFonts w:hAnsi="宋体" w:eastAsia="黑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00" w:lineRule="exact"/>
              <w:rPr>
                <w:rFonts w:ascii="华文楷体" w:hAnsi="华文楷体" w:eastAsia="华文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培养方案和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教学保障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（重点专业培养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计划中针对国际学生的调整和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优化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，汉语和中国概况类课程的安排，对项目目标生源教育基础的分析及相应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制定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的入学教育、教学辅导等工作方案，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以及教学督导与评价的工作重点）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80" w:lineRule="auto"/>
              <w:rPr>
                <w:rFonts w:ascii="华文楷体" w:hAnsi="华文楷体" w:eastAsia="华文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成果和效益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(项目设立的预期成果,以及为国家大局服务所能发挥的实际效益有哪些)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8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服务"双一流"建设或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一带一路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倡议</w:t>
            </w:r>
          </w:p>
          <w:p>
            <w:pPr>
              <w:tabs>
                <w:tab w:val="left" w:pos="420"/>
              </w:tabs>
              <w:spacing w:line="480" w:lineRule="auto"/>
              <w:rPr>
                <w:rFonts w:ascii="华文楷体" w:hAnsi="华文楷体" w:eastAsia="华文楷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校友建设与中外人文交流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(项目方案中校友工作建设方案包含哪些重点内容,以及如何服务学校和国家的中外人文交流工作)</w:t>
            </w:r>
          </w:p>
          <w:p>
            <w:pPr>
              <w:tabs>
                <w:tab w:val="left" w:pos="420"/>
              </w:tabs>
              <w:spacing w:line="480" w:lineRule="auto"/>
              <w:rPr>
                <w:rFonts w:ascii="华文楷体" w:hAnsi="华文楷体" w:eastAsia="华文楷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tabs>
          <w:tab w:val="left" w:pos="420"/>
        </w:tabs>
        <w:spacing w:line="14" w:lineRule="exact"/>
        <w:rPr>
          <w:rFonts w:hAnsi="宋体" w:eastAsia="黑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94805"/>
    <w:multiLevelType w:val="singleLevel"/>
    <w:tmpl w:val="68E9480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3D"/>
    <w:rsid w:val="000656EA"/>
    <w:rsid w:val="00081654"/>
    <w:rsid w:val="00092902"/>
    <w:rsid w:val="0010174F"/>
    <w:rsid w:val="00110A28"/>
    <w:rsid w:val="00123806"/>
    <w:rsid w:val="00125B31"/>
    <w:rsid w:val="00126BFA"/>
    <w:rsid w:val="001400B3"/>
    <w:rsid w:val="001B68DC"/>
    <w:rsid w:val="001D30AF"/>
    <w:rsid w:val="001E0E24"/>
    <w:rsid w:val="0020677F"/>
    <w:rsid w:val="002842B2"/>
    <w:rsid w:val="00292B06"/>
    <w:rsid w:val="00292C6A"/>
    <w:rsid w:val="00296938"/>
    <w:rsid w:val="002D6183"/>
    <w:rsid w:val="002F2685"/>
    <w:rsid w:val="002F671A"/>
    <w:rsid w:val="003002B5"/>
    <w:rsid w:val="00303F69"/>
    <w:rsid w:val="003227DD"/>
    <w:rsid w:val="00345C26"/>
    <w:rsid w:val="0037233D"/>
    <w:rsid w:val="003A19D8"/>
    <w:rsid w:val="003D0621"/>
    <w:rsid w:val="003D2B74"/>
    <w:rsid w:val="003F58E2"/>
    <w:rsid w:val="00403866"/>
    <w:rsid w:val="00430C38"/>
    <w:rsid w:val="00447627"/>
    <w:rsid w:val="00483117"/>
    <w:rsid w:val="0049229A"/>
    <w:rsid w:val="004A356D"/>
    <w:rsid w:val="004B7372"/>
    <w:rsid w:val="004D487E"/>
    <w:rsid w:val="004E450E"/>
    <w:rsid w:val="004F568A"/>
    <w:rsid w:val="00500C2E"/>
    <w:rsid w:val="00536EB8"/>
    <w:rsid w:val="005374E3"/>
    <w:rsid w:val="005377DD"/>
    <w:rsid w:val="00545EAA"/>
    <w:rsid w:val="00593F4C"/>
    <w:rsid w:val="0059677A"/>
    <w:rsid w:val="005A0484"/>
    <w:rsid w:val="005B32EB"/>
    <w:rsid w:val="005C4B6D"/>
    <w:rsid w:val="005D1B9A"/>
    <w:rsid w:val="005E3816"/>
    <w:rsid w:val="005F3EBF"/>
    <w:rsid w:val="005F6668"/>
    <w:rsid w:val="00660266"/>
    <w:rsid w:val="00671AE6"/>
    <w:rsid w:val="0068386E"/>
    <w:rsid w:val="006A7ACC"/>
    <w:rsid w:val="006E72AB"/>
    <w:rsid w:val="006F7154"/>
    <w:rsid w:val="00733065"/>
    <w:rsid w:val="00780624"/>
    <w:rsid w:val="007A777D"/>
    <w:rsid w:val="007E7540"/>
    <w:rsid w:val="00811D74"/>
    <w:rsid w:val="00827D2E"/>
    <w:rsid w:val="008379E4"/>
    <w:rsid w:val="008574EC"/>
    <w:rsid w:val="00861155"/>
    <w:rsid w:val="008F4462"/>
    <w:rsid w:val="0092188D"/>
    <w:rsid w:val="0093032F"/>
    <w:rsid w:val="009733DD"/>
    <w:rsid w:val="00981415"/>
    <w:rsid w:val="009B3FA0"/>
    <w:rsid w:val="009E77F9"/>
    <w:rsid w:val="00A23138"/>
    <w:rsid w:val="00A37019"/>
    <w:rsid w:val="00A81CF3"/>
    <w:rsid w:val="00A85C30"/>
    <w:rsid w:val="00A927FB"/>
    <w:rsid w:val="00AA646B"/>
    <w:rsid w:val="00AC5022"/>
    <w:rsid w:val="00AD7DA6"/>
    <w:rsid w:val="00AF221D"/>
    <w:rsid w:val="00B17291"/>
    <w:rsid w:val="00B17D75"/>
    <w:rsid w:val="00B41762"/>
    <w:rsid w:val="00B45D10"/>
    <w:rsid w:val="00B67A78"/>
    <w:rsid w:val="00B708D1"/>
    <w:rsid w:val="00B93401"/>
    <w:rsid w:val="00BC1882"/>
    <w:rsid w:val="00BE0D85"/>
    <w:rsid w:val="00C07636"/>
    <w:rsid w:val="00C21473"/>
    <w:rsid w:val="00C30AC6"/>
    <w:rsid w:val="00C57AE2"/>
    <w:rsid w:val="00C623A7"/>
    <w:rsid w:val="00C737F9"/>
    <w:rsid w:val="00CB36F8"/>
    <w:rsid w:val="00CC66E0"/>
    <w:rsid w:val="00CD1E07"/>
    <w:rsid w:val="00CD5EE6"/>
    <w:rsid w:val="00CE2317"/>
    <w:rsid w:val="00CF37A2"/>
    <w:rsid w:val="00CF54B5"/>
    <w:rsid w:val="00D16A4A"/>
    <w:rsid w:val="00D33E42"/>
    <w:rsid w:val="00D352CC"/>
    <w:rsid w:val="00D80F1A"/>
    <w:rsid w:val="00D82E9F"/>
    <w:rsid w:val="00D8318E"/>
    <w:rsid w:val="00D86786"/>
    <w:rsid w:val="00DB2784"/>
    <w:rsid w:val="00DC0B2D"/>
    <w:rsid w:val="00DC6902"/>
    <w:rsid w:val="00E003A6"/>
    <w:rsid w:val="00E065DF"/>
    <w:rsid w:val="00E32CF1"/>
    <w:rsid w:val="00E330CD"/>
    <w:rsid w:val="00E50589"/>
    <w:rsid w:val="00E56D43"/>
    <w:rsid w:val="00E67CD3"/>
    <w:rsid w:val="00EA1B1D"/>
    <w:rsid w:val="00EA77F5"/>
    <w:rsid w:val="00EF4EE1"/>
    <w:rsid w:val="00F247B0"/>
    <w:rsid w:val="00F249DD"/>
    <w:rsid w:val="00F57DA2"/>
    <w:rsid w:val="00F67025"/>
    <w:rsid w:val="00F77961"/>
    <w:rsid w:val="00FA5845"/>
    <w:rsid w:val="00FC6110"/>
    <w:rsid w:val="00FC6685"/>
    <w:rsid w:val="03167683"/>
    <w:rsid w:val="0B146E7C"/>
    <w:rsid w:val="0B3051BF"/>
    <w:rsid w:val="11AD5953"/>
    <w:rsid w:val="130F20CD"/>
    <w:rsid w:val="14ED165B"/>
    <w:rsid w:val="15CB2C77"/>
    <w:rsid w:val="16124B04"/>
    <w:rsid w:val="17CD5BA9"/>
    <w:rsid w:val="1B5F43AF"/>
    <w:rsid w:val="1BB651E7"/>
    <w:rsid w:val="1E0526D7"/>
    <w:rsid w:val="1EAC3A80"/>
    <w:rsid w:val="205A6C49"/>
    <w:rsid w:val="2761291B"/>
    <w:rsid w:val="2B720E73"/>
    <w:rsid w:val="322F486B"/>
    <w:rsid w:val="326B467C"/>
    <w:rsid w:val="34E12D2C"/>
    <w:rsid w:val="36474F6A"/>
    <w:rsid w:val="3BB24ECD"/>
    <w:rsid w:val="3C743091"/>
    <w:rsid w:val="3D1004E1"/>
    <w:rsid w:val="402B037C"/>
    <w:rsid w:val="43D05361"/>
    <w:rsid w:val="440224D6"/>
    <w:rsid w:val="44364C65"/>
    <w:rsid w:val="46AF50ED"/>
    <w:rsid w:val="49D71FEE"/>
    <w:rsid w:val="49F83FF7"/>
    <w:rsid w:val="54FD0742"/>
    <w:rsid w:val="58D516D7"/>
    <w:rsid w:val="59D27C5B"/>
    <w:rsid w:val="5AC54B33"/>
    <w:rsid w:val="5CEA6B5A"/>
    <w:rsid w:val="5CF84712"/>
    <w:rsid w:val="643C406D"/>
    <w:rsid w:val="68C4434C"/>
    <w:rsid w:val="69AE7FF7"/>
    <w:rsid w:val="6D064F8B"/>
    <w:rsid w:val="70C6144B"/>
    <w:rsid w:val="71FF7EC7"/>
    <w:rsid w:val="72433DAB"/>
    <w:rsid w:val="72E93372"/>
    <w:rsid w:val="738E648D"/>
    <w:rsid w:val="75B07B4F"/>
    <w:rsid w:val="7F773495"/>
    <w:rsid w:val="7FF2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basedOn w:val="8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10">
    <w:name w:val="页眉 字符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_Style 1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BEF042-0877-4717-9613-2280A76CBB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11</Pages>
  <Words>613</Words>
  <Characters>3496</Characters>
  <Lines>29</Lines>
  <Paragraphs>8</Paragraphs>
  <TotalTime>8</TotalTime>
  <ScaleCrop>false</ScaleCrop>
  <LinksUpToDate>false</LinksUpToDate>
  <CharactersWithSpaces>4101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2018-11-28T05:08:00Z</dcterms:created>
  <dc:creator>zyy</dc:creator>
  <cp:lastModifiedBy>爱宅女中年</cp:lastModifiedBy>
  <cp:lastPrinted>2018-12-05T08:27:00Z</cp:lastPrinted>
  <dcterms:modified xsi:type="dcterms:W3CDTF">2021-01-05T02:54:53Z</dcterms:modified>
  <dc:title>附件1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